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4"/>
          <w:szCs w:val="34"/>
        </w:rPr>
        <w:t>聊城大学网上办事大厅新增用电设备安装申请流程说明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校内各单位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二、流程概述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为进一步规范新增用电设备安装，提高申请审批效率，学校各职能部门或学院可通过数字聊大网上办事大厅，提交新增用电设备安装申请，实现该项业务的线上办理。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1.申请单位提交申请材料。其中联系人须为本校正式教职工，联系电话保持畅通。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2.后勤管理中心能源管理部负责人组织安排技术人员进行可行性论证，签批意见建议。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3.后勤管理中心能源管理部主任审批。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4.后勤管理服务中心分管副主任审批。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5.后勤管理服务中心主任审批。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6.分管校领导审批。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014085" cy="356870"/>
            <wp:effectExtent l="0" t="0" r="5715" b="889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4085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李洪磊，0635-8238568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六、制度依据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《聊城大学网上办事大厅信息平台建设管理细则》（聊大校发〔2021〕51号附件4）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七、注意事项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属于水电维修物业范围内的项目，直接由水电维修物业实施。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如需要走工程改造项目，申请单位发起人携项目申请报告及用水用电论证意见表（流程走完后，申请人在“办结事项”中导出打印即可）报维修工程部申请实施。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jM2NDRkMjQ2YzNhMjg5ODdmZTk3M2IwNzE1ZTQifQ=="/>
  </w:docVars>
  <w:rsids>
    <w:rsidRoot w:val="06252C86"/>
    <w:rsid w:val="062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2023-05-31T06:44:00Z</dcterms:created>
  <dc:creator>十号信箱.</dc:creator>
  <cp:lastModifiedBy>十号信箱.</cp:lastModifiedBy>
  <dcterms:modified xsi:type="dcterms:W3CDTF">2023-05-31T06:45:46Z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CBA5555AC6B44FC28C459690D4CB2958_11</vt:lpwstr>
  </property>
</Properties>
</file>